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20"/>
        <w:jc w:val="center"/>
        <w:textAlignment w:val="auto"/>
        <w:rPr>
          <w:rStyle w:val="7"/>
          <w:rFonts w:hint="eastAsia" w:ascii="宋体" w:hAnsi="宋体" w:eastAsia="宋体" w:cs="宋体"/>
          <w:b/>
          <w:bCs w:val="0"/>
          <w:color w:val="333333"/>
          <w:kern w:val="0"/>
          <w:sz w:val="36"/>
          <w:szCs w:val="36"/>
          <w:shd w:val="clear" w:color="auto" w:fill="FFFFFF"/>
          <w:lang w:val="en-US" w:eastAsia="zh-CN" w:bidi="ar"/>
        </w:rPr>
      </w:pPr>
      <w:bookmarkStart w:id="0" w:name="_Toc294984157"/>
      <w:bookmarkEnd w:id="0"/>
      <w:bookmarkStart w:id="1" w:name="_Toc295064916"/>
      <w:bookmarkEnd w:id="1"/>
      <w:bookmarkStart w:id="2" w:name="_Toc327434650"/>
      <w:bookmarkEnd w:id="2"/>
      <w:r>
        <w:rPr>
          <w:rStyle w:val="7"/>
          <w:rFonts w:hint="eastAsia" w:ascii="宋体" w:hAnsi="宋体" w:eastAsia="宋体" w:cs="宋体"/>
          <w:b/>
          <w:bCs w:val="0"/>
          <w:color w:val="333333"/>
          <w:kern w:val="0"/>
          <w:sz w:val="36"/>
          <w:szCs w:val="36"/>
          <w:shd w:val="clear" w:color="auto" w:fill="FFFFFF"/>
          <w:lang w:val="en-US" w:eastAsia="zh-CN" w:bidi="ar"/>
        </w:rPr>
        <w:t>2020-2021学年度“尚能杯”院级职业技能大赛</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20"/>
        <w:jc w:val="center"/>
        <w:textAlignment w:val="auto"/>
        <w:rPr>
          <w:rStyle w:val="7"/>
          <w:rFonts w:hint="eastAsia" w:ascii="宋体" w:hAnsi="宋体" w:eastAsia="宋体" w:cs="宋体"/>
          <w:b/>
          <w:bCs w:val="0"/>
          <w:color w:val="333333"/>
          <w:kern w:val="0"/>
          <w:sz w:val="36"/>
          <w:szCs w:val="36"/>
          <w:shd w:val="clear" w:color="auto" w:fill="FFFFFF"/>
          <w:lang w:val="en-US" w:eastAsia="zh-CN" w:bidi="ar"/>
        </w:rPr>
      </w:pPr>
      <w:r>
        <w:rPr>
          <w:rStyle w:val="7"/>
          <w:rFonts w:hint="eastAsia" w:ascii="宋体" w:hAnsi="宋体" w:eastAsia="宋体" w:cs="宋体"/>
          <w:b/>
          <w:bCs w:val="0"/>
          <w:color w:val="333333"/>
          <w:kern w:val="0"/>
          <w:sz w:val="36"/>
          <w:szCs w:val="36"/>
          <w:shd w:val="clear" w:color="auto" w:fill="FFFFFF"/>
          <w:lang w:val="en-US" w:eastAsia="zh-CN" w:bidi="ar"/>
        </w:rPr>
        <w:t>“网络系统管理”赛项竞赛规程</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一、赛项名称</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网络系统管理</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二、竞赛目的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竞赛，进一步促进全省高职计算机网络类、信息类专业面向行业应用，优化课程体系设置、深化校企合作体制机制、创新人才培养模式，促进高职计算机网络类、信息类专业学生的实训实习与就业；培养学生计算机网络的拓扑规划能力、IP地址规划能力、数据中心搭建与实施能力、设备配置与连接能力、有线无线网络融合能力、无线Wi-Fi网的应用配置、网络安全规划与实施能力、服务的搭建与调试能力、应用的接入与测试能力，以及学生的综合职业素质，包括现场问题分析与处理、团队协作和创新能力、安全、环保等意识。并通过竞赛引导全院关注计算机网络构建、网络应用和网络安全维护的高速发展趋势，指导和推动计算机网络类、信息类专业开展教学改革，加快计算机类、信息类专业高素质技能型人才的培养，适应国家产业结构调整和产业发展对计算机应用型技术人才的需求，增强技能型人才的就业竞争力。</w:t>
      </w:r>
    </w:p>
    <w:p>
      <w:pPr>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三、竞赛方式和内容</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（一）竞赛方式</w:t>
      </w:r>
    </w:p>
    <w:p>
      <w:pPr>
        <w:widowControl/>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竞赛采用团队方式进行，每个团队由3名选手组成（其中队长1名）。</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报名时间：20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年1</w:t>
      </w:r>
      <w:r>
        <w:rPr>
          <w:rFonts w:hint="eastAsia" w:ascii="宋体" w:hAnsi="宋体" w:eastAsia="宋体" w:cs="宋体"/>
          <w:sz w:val="24"/>
          <w:szCs w:val="24"/>
          <w:lang w:val="en-US" w:eastAsia="zh-CN"/>
        </w:rPr>
        <w:t>1</w:t>
      </w:r>
      <w:r>
        <w:rPr>
          <w:rFonts w:hint="eastAsia" w:ascii="宋体" w:hAnsi="宋体" w:eastAsia="宋体" w:cs="宋体"/>
          <w:sz w:val="24"/>
          <w:szCs w:val="24"/>
        </w:rPr>
        <w:t>月20日14:00至</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日17:00</w:t>
      </w:r>
    </w:p>
    <w:p>
      <w:pPr>
        <w:widowControl/>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比赛时间：20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年12月</w:t>
      </w:r>
      <w:r>
        <w:rPr>
          <w:rFonts w:hint="eastAsia" w:ascii="宋体" w:hAnsi="宋体" w:eastAsia="宋体" w:cs="宋体"/>
          <w:sz w:val="24"/>
          <w:szCs w:val="24"/>
          <w:lang w:val="en-US" w:eastAsia="zh-CN"/>
        </w:rPr>
        <w:t>19</w:t>
      </w:r>
      <w:r>
        <w:rPr>
          <w:rFonts w:hint="eastAsia" w:ascii="宋体" w:hAnsi="宋体" w:eastAsia="宋体" w:cs="宋体"/>
          <w:sz w:val="24"/>
          <w:szCs w:val="24"/>
        </w:rPr>
        <w:t>日上午</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0至</w:t>
      </w:r>
      <w:r>
        <w:rPr>
          <w:rFonts w:hint="eastAsia" w:ascii="宋体" w:hAnsi="宋体" w:eastAsia="宋体" w:cs="宋体"/>
          <w:sz w:val="24"/>
          <w:szCs w:val="24"/>
          <w:lang w:val="en-US" w:eastAsia="zh-CN"/>
        </w:rPr>
        <w:t>11</w:t>
      </w:r>
      <w:r>
        <w:rPr>
          <w:rFonts w:hint="eastAsia" w:ascii="宋体" w:hAnsi="宋体" w:eastAsia="宋体" w:cs="宋体"/>
          <w:sz w:val="24"/>
          <w:szCs w:val="24"/>
        </w:rPr>
        <w:t>：30</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（二）竞赛方案</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网络系统管理</w:t>
      </w:r>
      <w:r>
        <w:rPr>
          <w:rFonts w:hint="eastAsia" w:ascii="宋体" w:hAnsi="宋体" w:eastAsia="宋体" w:cs="宋体"/>
          <w:sz w:val="24"/>
          <w:szCs w:val="24"/>
        </w:rPr>
        <w:t>（3人团体项目）</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利用竞赛提供的3台计算机、1台服务器（大赛提供光盘和u盘两种安装方式）、1台路由器、1台三层交换机、2台数据中心交换机、1台接入交换机、按竞赛要求组建网络和架设相关云服务。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比赛时间为</w:t>
      </w:r>
      <w:r>
        <w:rPr>
          <w:rFonts w:hint="eastAsia" w:ascii="宋体" w:hAnsi="宋体" w:eastAsia="宋体" w:cs="宋体"/>
          <w:sz w:val="24"/>
          <w:szCs w:val="24"/>
          <w:lang w:val="en-US" w:eastAsia="zh-CN"/>
        </w:rPr>
        <w:t>3</w:t>
      </w:r>
      <w:r>
        <w:rPr>
          <w:rFonts w:hint="eastAsia" w:ascii="宋体" w:hAnsi="宋体" w:eastAsia="宋体" w:cs="宋体"/>
          <w:sz w:val="24"/>
          <w:szCs w:val="24"/>
        </w:rPr>
        <w:t>个小时，比赛连续进行，赛场附近设有休息区，若选手需要中途休息，可以由工作人员带到休息区休息，休息时间计入赛时。网络线缆制作与连接、服务器的安装与配置、网络设备调试、网络测试验收、清洁整理等时间均计算在内。</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参赛队根据给定竞赛任务，按照竞赛题目要求，在规定时间和指定场地内，完成设备连接、设备配置、云服务的配置与管理、验收测试。</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赛场提供双绞线制作工具（水晶头若干，网线若干，网线钳1把，测试仪一个）。</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（三）竞赛内容</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1.根据提供的竞赛方案，读懂实际的工程项目文档，理解实际的工程应用与业务架构。</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2.根据业务需求和实际工程应用环境，实现网络设备、服务器的连接，并根据实际工程业务需要，对设备进行互联互通和调试。</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3.在路由器、交换机、服务器上配置各种协议与服务，实现网络的运行，并根据网络业务需求配置各种策略，以满足应用需求。</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（四）项目指标体系</w:t>
      </w:r>
    </w:p>
    <w:p>
      <w:pPr>
        <w:widowControl/>
        <w:snapToGrid w:val="0"/>
        <w:spacing w:after="120" w:afterLines="50" w:line="240" w:lineRule="atLeas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表一：计算机网络应用赛项竞赛知识与技能点</w:t>
      </w:r>
    </w:p>
    <w:tbl>
      <w:tblPr>
        <w:tblStyle w:val="5"/>
        <w:tblW w:w="8872" w:type="dxa"/>
        <w:jc w:val="center"/>
        <w:tblLayout w:type="fixed"/>
        <w:tblCellMar>
          <w:top w:w="0" w:type="dxa"/>
          <w:left w:w="108" w:type="dxa"/>
          <w:bottom w:w="0" w:type="dxa"/>
          <w:right w:w="108" w:type="dxa"/>
        </w:tblCellMar>
      </w:tblPr>
      <w:tblGrid>
        <w:gridCol w:w="648"/>
        <w:gridCol w:w="2012"/>
        <w:gridCol w:w="2268"/>
        <w:gridCol w:w="3944"/>
      </w:tblGrid>
      <w:tr>
        <w:tblPrEx>
          <w:tblCellMar>
            <w:top w:w="0" w:type="dxa"/>
            <w:left w:w="108" w:type="dxa"/>
            <w:bottom w:w="0" w:type="dxa"/>
            <w:right w:w="108" w:type="dxa"/>
          </w:tblCellMar>
        </w:tblPrEx>
        <w:trPr>
          <w:trHeight w:val="420"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0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2012"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内容模块</w:t>
            </w: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具体内容</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说明</w:t>
            </w:r>
          </w:p>
        </w:tc>
      </w:tr>
      <w:tr>
        <w:tblPrEx>
          <w:tblCellMar>
            <w:top w:w="0" w:type="dxa"/>
            <w:left w:w="108" w:type="dxa"/>
            <w:bottom w:w="0" w:type="dxa"/>
            <w:right w:w="108" w:type="dxa"/>
          </w:tblCellMar>
        </w:tblPrEx>
        <w:trPr>
          <w:trHeight w:val="414" w:hRule="atLeast"/>
          <w:jc w:val="center"/>
        </w:trPr>
        <w:tc>
          <w:tcPr>
            <w:tcW w:w="648" w:type="dxa"/>
            <w:vMerge w:val="restart"/>
            <w:tcBorders>
              <w:top w:val="nil"/>
              <w:left w:val="single" w:color="000000" w:sz="4" w:space="0"/>
              <w:bottom w:val="single" w:color="000000" w:sz="4" w:space="0"/>
              <w:right w:val="single" w:color="000000" w:sz="4" w:space="0"/>
            </w:tcBorders>
            <w:vAlign w:val="center"/>
          </w:tcPr>
          <w:p>
            <w:pPr>
              <w:snapToGrid w:val="0"/>
              <w:spacing w:line="20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012" w:type="dxa"/>
            <w:vMerge w:val="restart"/>
            <w:tcBorders>
              <w:top w:val="nil"/>
              <w:left w:val="nil"/>
              <w:bottom w:val="single" w:color="000000" w:sz="4" w:space="0"/>
              <w:right w:val="single" w:color="000000" w:sz="4" w:space="0"/>
            </w:tcBorders>
            <w:vAlign w:val="center"/>
          </w:tcPr>
          <w:p>
            <w:pPr>
              <w:widowControl/>
              <w:snapToGrid w:val="0"/>
              <w:spacing w:line="20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网络组建</w:t>
            </w:r>
          </w:p>
          <w:p>
            <w:pPr>
              <w:widowControl/>
              <w:snapToGrid w:val="0"/>
              <w:spacing w:line="20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（网络设备配置与调试）</w:t>
            </w:r>
          </w:p>
          <w:p>
            <w:pPr>
              <w:widowControl/>
              <w:snapToGrid w:val="0"/>
              <w:spacing w:line="200" w:lineRule="exact"/>
              <w:jc w:val="center"/>
              <w:rPr>
                <w:rFonts w:hint="eastAsia" w:ascii="宋体" w:hAnsi="宋体" w:eastAsia="宋体" w:cs="宋体"/>
                <w:color w:val="000000"/>
                <w:kern w:val="0"/>
                <w:sz w:val="24"/>
                <w:szCs w:val="24"/>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线缆的制作与连通性</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按568B的标准制作线缆，并测试其连通性；</w:t>
            </w:r>
          </w:p>
        </w:tc>
      </w:tr>
      <w:tr>
        <w:tblPrEx>
          <w:tblCellMar>
            <w:top w:w="0" w:type="dxa"/>
            <w:left w:w="108" w:type="dxa"/>
            <w:bottom w:w="0" w:type="dxa"/>
            <w:right w:w="108" w:type="dxa"/>
          </w:tblCellMar>
        </w:tblPrEx>
        <w:trPr>
          <w:trHeight w:val="387"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IP地址划分实施</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VLSM、子网；</w:t>
            </w:r>
          </w:p>
        </w:tc>
      </w:tr>
      <w:tr>
        <w:tblPrEx>
          <w:tblCellMar>
            <w:top w:w="0" w:type="dxa"/>
            <w:left w:w="108" w:type="dxa"/>
            <w:bottom w:w="0" w:type="dxa"/>
            <w:right w:w="108" w:type="dxa"/>
          </w:tblCellMar>
        </w:tblPrEx>
        <w:trPr>
          <w:trHeight w:val="267"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交换机配置与调试</w:t>
            </w:r>
          </w:p>
        </w:tc>
        <w:tc>
          <w:tcPr>
            <w:tcW w:w="3944" w:type="dxa"/>
            <w:tcBorders>
              <w:top w:val="single" w:color="000000" w:sz="4" w:space="0"/>
              <w:left w:val="nil"/>
              <w:bottom w:val="single" w:color="000000" w:sz="4" w:space="0"/>
              <w:right w:val="single" w:color="000000" w:sz="4" w:space="0"/>
            </w:tcBorders>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VLAN、STP、RSTP、MSTP、MAC、802.1X、端口安全、端口聚合、VRRP、组播等；</w:t>
            </w:r>
          </w:p>
        </w:tc>
      </w:tr>
      <w:tr>
        <w:tblPrEx>
          <w:tblCellMar>
            <w:top w:w="0" w:type="dxa"/>
            <w:left w:w="108" w:type="dxa"/>
            <w:bottom w:w="0" w:type="dxa"/>
            <w:right w:w="108" w:type="dxa"/>
          </w:tblCellMar>
        </w:tblPrEx>
        <w:trPr>
          <w:trHeight w:val="470"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路由器配置与调试</w:t>
            </w:r>
          </w:p>
        </w:tc>
        <w:tc>
          <w:tcPr>
            <w:tcW w:w="3944" w:type="dxa"/>
            <w:tcBorders>
              <w:top w:val="single" w:color="000000" w:sz="4" w:space="0"/>
              <w:left w:val="nil"/>
              <w:bottom w:val="single" w:color="000000" w:sz="4" w:space="0"/>
              <w:right w:val="single" w:color="000000" w:sz="4" w:space="0"/>
            </w:tcBorders>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BGP、RIP、OSPF、ISIS、单臂路由、NTP、DHCP、QoS、ACL、VRRP、MPLP等配置；</w:t>
            </w:r>
          </w:p>
        </w:tc>
      </w:tr>
      <w:tr>
        <w:tblPrEx>
          <w:tblCellMar>
            <w:top w:w="0" w:type="dxa"/>
            <w:left w:w="108" w:type="dxa"/>
            <w:bottom w:w="0" w:type="dxa"/>
            <w:right w:w="108" w:type="dxa"/>
          </w:tblCellMar>
        </w:tblPrEx>
        <w:trPr>
          <w:trHeight w:val="363"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VPN</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GRE、L2TP、IPsec等；</w:t>
            </w:r>
          </w:p>
        </w:tc>
      </w:tr>
      <w:tr>
        <w:tblPrEx>
          <w:tblCellMar>
            <w:top w:w="0" w:type="dxa"/>
            <w:left w:w="108" w:type="dxa"/>
            <w:bottom w:w="0" w:type="dxa"/>
            <w:right w:w="108" w:type="dxa"/>
          </w:tblCellMar>
        </w:tblPrEx>
        <w:trPr>
          <w:trHeight w:val="267"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局域网的设置</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PC局域网：Windows操作系统IP的配置、打印共享、文件共享等；</w:t>
            </w:r>
          </w:p>
        </w:tc>
      </w:tr>
      <w:tr>
        <w:tblPrEx>
          <w:tblCellMar>
            <w:top w:w="0" w:type="dxa"/>
            <w:left w:w="108" w:type="dxa"/>
            <w:bottom w:w="0" w:type="dxa"/>
            <w:right w:w="108" w:type="dxa"/>
          </w:tblCellMar>
        </w:tblPrEx>
        <w:trPr>
          <w:trHeight w:val="367"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广域网配置</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PPP、Frame-Relay、NAT、NAPT；</w:t>
            </w:r>
          </w:p>
        </w:tc>
      </w:tr>
      <w:tr>
        <w:tblPrEx>
          <w:tblCellMar>
            <w:top w:w="0" w:type="dxa"/>
            <w:left w:w="108" w:type="dxa"/>
            <w:bottom w:w="0" w:type="dxa"/>
            <w:right w:w="108" w:type="dxa"/>
          </w:tblCellMar>
        </w:tblPrEx>
        <w:trPr>
          <w:trHeight w:val="488"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0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012" w:type="dxa"/>
            <w:tcBorders>
              <w:top w:val="single" w:color="000000" w:sz="4" w:space="0"/>
              <w:left w:val="nil"/>
              <w:bottom w:val="single" w:color="000000" w:sz="4" w:space="0"/>
              <w:right w:val="single" w:color="000000" w:sz="4" w:space="0"/>
            </w:tcBorders>
            <w:vAlign w:val="center"/>
          </w:tcPr>
          <w:p>
            <w:pPr>
              <w:widowControl/>
              <w:spacing w:line="20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工程实施报告</w:t>
            </w: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根据《任务书》撰写工程实施报告</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根据《任务书》的描述，按要求描述出设计思路及对相应技术的理解；</w:t>
            </w:r>
          </w:p>
        </w:tc>
      </w:tr>
      <w:tr>
        <w:tblPrEx>
          <w:tblCellMar>
            <w:top w:w="0" w:type="dxa"/>
            <w:left w:w="108" w:type="dxa"/>
            <w:bottom w:w="0" w:type="dxa"/>
            <w:right w:w="108" w:type="dxa"/>
          </w:tblCellMar>
        </w:tblPrEx>
        <w:trPr>
          <w:trHeight w:val="4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0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012" w:type="dxa"/>
            <w:tcBorders>
              <w:top w:val="single" w:color="000000" w:sz="4" w:space="0"/>
              <w:left w:val="nil"/>
              <w:bottom w:val="single" w:color="000000" w:sz="4" w:space="0"/>
              <w:right w:val="single" w:color="000000" w:sz="4" w:space="0"/>
            </w:tcBorders>
            <w:vAlign w:val="center"/>
          </w:tcPr>
          <w:p>
            <w:pPr>
              <w:widowControl/>
              <w:spacing w:line="20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综合素质</w:t>
            </w: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职业素质</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hint="eastAsia" w:ascii="宋体" w:hAnsi="宋体" w:eastAsia="宋体" w:cs="宋体"/>
                <w:color w:val="000000"/>
                <w:kern w:val="0"/>
                <w:sz w:val="24"/>
                <w:szCs w:val="24"/>
              </w:rPr>
            </w:pPr>
            <w:r>
              <w:rPr>
                <w:rFonts w:hint="eastAsia" w:ascii="宋体" w:hAnsi="宋体" w:eastAsia="宋体" w:cs="宋体"/>
                <w:color w:val="000000"/>
                <w:sz w:val="24"/>
                <w:szCs w:val="24"/>
              </w:rPr>
              <w:t>职业规范、团队风貌、分工与协作。</w:t>
            </w:r>
          </w:p>
        </w:tc>
      </w:tr>
    </w:tbl>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四、竞赛规则</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（一）每个参赛队必须参加所有专项的比赛。</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（二）参赛队抽签确定参赛时间和顺序，参赛选手抽签确定竞赛工位。</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（三）竞赛统一提供设备、软件及与赛事相关的资料，参赛选手不得携带参考资料、通信设备、存储设备、电子工具等进入赛场。</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（四）参赛选手按规定时间进入竞赛场地，确认现场条件，根据统一指令开始比赛。</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（五）赛题以纸质版任务书的形式发放，竞赛参考资料在赛前植入参赛选手的计算机，参赛队根据纸质版任务书的要求完成竞赛任务。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六）比赛过程中，参赛选手须严格遵守操作规程，确保人身及设备安全，并接受裁判员的监督和警示；若因选手个人原因造成设备故障，裁判长有权中止比赛；若因非选手个人原因造成设备故障，由裁判长视具体情况做出裁决；参赛选手如遇到由于个人原因或其他原因造成设备断电，应第一时间告知裁判，由裁判视具体情况做出裁决，并记录。否则将不予受理相关申诉。 </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（七）参赛队须按照任务书要求及程序提交竞赛结果及相关文档，禁止在竞赛结果上做任何与竞赛无关的标记。</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（八）竞赛结束（或提前完成）后，参赛队队长需与监考人员一同确认提交的相关文档和文件并签字确认，参赛队在确认后不得再进行任何操作。待工作人员对竞赛工具及设备进行清点验收后，方可离开赛场。</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五、竞赛场地要求与设施</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（一）竞赛场地</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室内场所，照明、供电等齐全，室温适宜、符合安全要求,配置相应的灭火设备,空调。竞赛场地为半公开场地,做到公平公开。</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（二）竞赛设施</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配置设备按照参赛队数量准备，包括工作台、计算机等。</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本竞赛赛场提供以下软、硬件环境：</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硬件环境：3台计算机、1台服务器（大赛提供光盘和u盘两种安装方式）、1台路由器、1台三层交换机、1台接入交换机。具体设备型号和数量见下表：</w:t>
      </w: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p>
    <w:p>
      <w:pPr>
        <w:widowControl/>
        <w:spacing w:after="120" w:afterLines="50"/>
        <w:jc w:val="center"/>
        <w:rPr>
          <w:rFonts w:hint="eastAsia" w:ascii="宋体" w:hAnsi="宋体" w:eastAsia="宋体" w:cs="宋体"/>
          <w:b/>
          <w:bCs/>
          <w:kern w:val="0"/>
          <w:sz w:val="24"/>
          <w:szCs w:val="24"/>
        </w:rPr>
      </w:pPr>
    </w:p>
    <w:p>
      <w:pPr>
        <w:widowControl/>
        <w:spacing w:after="120" w:afterLines="5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表二：计算机网络应用赛项设备清单</w:t>
      </w:r>
    </w:p>
    <w:tbl>
      <w:tblPr>
        <w:tblStyle w:val="5"/>
        <w:tblW w:w="8562" w:type="dxa"/>
        <w:jc w:val="center"/>
        <w:tblLayout w:type="fixed"/>
        <w:tblCellMar>
          <w:top w:w="0" w:type="dxa"/>
          <w:left w:w="108" w:type="dxa"/>
          <w:bottom w:w="0" w:type="dxa"/>
          <w:right w:w="108" w:type="dxa"/>
        </w:tblCellMar>
      </w:tblPr>
      <w:tblGrid>
        <w:gridCol w:w="1107"/>
        <w:gridCol w:w="1843"/>
        <w:gridCol w:w="4989"/>
        <w:gridCol w:w="623"/>
      </w:tblGrid>
      <w:tr>
        <w:tblPrEx>
          <w:tblCellMar>
            <w:top w:w="0" w:type="dxa"/>
            <w:left w:w="108" w:type="dxa"/>
            <w:bottom w:w="0" w:type="dxa"/>
            <w:right w:w="108" w:type="dxa"/>
          </w:tblCellMar>
        </w:tblPrEx>
        <w:trPr>
          <w:trHeight w:val="411" w:hRule="atLeast"/>
          <w:jc w:val="center"/>
        </w:trPr>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设备名称</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型号定义</w:t>
            </w:r>
          </w:p>
        </w:tc>
        <w:tc>
          <w:tcPr>
            <w:tcW w:w="498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产品描述</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w:t>
            </w:r>
          </w:p>
        </w:tc>
      </w:tr>
      <w:tr>
        <w:tblPrEx>
          <w:tblCellMar>
            <w:top w:w="0" w:type="dxa"/>
            <w:left w:w="108" w:type="dxa"/>
            <w:bottom w:w="0" w:type="dxa"/>
            <w:right w:w="108" w:type="dxa"/>
          </w:tblCellMar>
        </w:tblPrEx>
        <w:trPr>
          <w:trHeight w:val="417"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路由器</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RT-MSR2630-AC</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H3C MSR26-30路由器主机</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699"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数据中心交换机</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LS-5560X-30C-EI</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H3C S5560X-30C-EI L3以太网交换机主机,支持24个10/100/1000BASE-T端口,支持4个10G/1G BASE-X SFP+端口,支持1个Slot,无电源</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77"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交换机</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LS-5130-28S-EI</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H3C S5130-28S-EI L2以太网交换机主机,支持24个10/100/1000BASE-T电口,支持4个10G BASE-X SFP+端口,支持AC110/220V</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530"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串口模块</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RT-SIC-1SAE-H3</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1端口增强型同/异步串口接口模块</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tblPrEx>
          <w:tblCellMar>
            <w:top w:w="0" w:type="dxa"/>
            <w:left w:w="108" w:type="dxa"/>
            <w:bottom w:w="0" w:type="dxa"/>
            <w:right w:w="108" w:type="dxa"/>
          </w:tblCellMar>
        </w:tblPrEx>
        <w:trPr>
          <w:trHeight w:val="530" w:hRule="atLeast"/>
          <w:jc w:val="center"/>
        </w:trPr>
        <w:tc>
          <w:tcPr>
            <w:tcW w:w="1107"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串口电缆</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CAB-V35DTE(DB28)</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同 异步串口(SA)V.35 DTE电缆(DB28)</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CAB-V35DCE(DB28)</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同异步串口(SA)V.35 DCE电缆(DB28)</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530"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堆叠电缆</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LSWM1STK</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SFP+电缆0.65m</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53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电源模块</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LSPM2150A</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150W交流电源模块</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53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风扇模块</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LSPM1FANSA</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S5560交换机风扇模块</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r>
      <w:tr>
        <w:tblPrEx>
          <w:tblCellMar>
            <w:top w:w="0" w:type="dxa"/>
            <w:left w:w="108" w:type="dxa"/>
            <w:bottom w:w="0" w:type="dxa"/>
            <w:right w:w="108" w:type="dxa"/>
          </w:tblCellMar>
        </w:tblPrEx>
        <w:trPr>
          <w:trHeight w:val="530" w:hRule="atLeast"/>
          <w:jc w:val="center"/>
        </w:trPr>
        <w:tc>
          <w:tcPr>
            <w:tcW w:w="1107" w:type="dxa"/>
            <w:vMerge w:val="restart"/>
            <w:tcBorders>
              <w:top w:val="nil"/>
              <w:left w:val="single" w:color="auto" w:sz="4" w:space="0"/>
              <w:right w:val="single" w:color="auto" w:sz="4" w:space="0"/>
            </w:tcBorders>
            <w:shd w:val="clear" w:color="auto"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云平台</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VC-CAS-ENT</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H3C CAS-CAS云计算管理平台-纯软件(DVD)</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LIS-CAS-CVMA-STD-2</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H3C CAS-CVM虚拟化管理系统标准版软件License费用-管理2个物理CPU</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SV-MA-SFT-1Y</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H3C CAS技术支持服务（一年）</w:t>
            </w:r>
          </w:p>
        </w:tc>
        <w:tc>
          <w:tcPr>
            <w:tcW w:w="62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SV-PS-ONESTOR-1OOT</w:t>
            </w:r>
          </w:p>
        </w:tc>
        <w:tc>
          <w:tcPr>
            <w:tcW w:w="4989"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H3C ONEStor分布式存储软件部署服务(100 T)</w:t>
            </w:r>
          </w:p>
        </w:tc>
        <w:tc>
          <w:tcPr>
            <w:tcW w:w="6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SV-MA-SFT-1Y</w:t>
            </w:r>
          </w:p>
        </w:tc>
        <w:tc>
          <w:tcPr>
            <w:tcW w:w="4989"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H3C 软件技术支持服务(一年)</w:t>
            </w:r>
          </w:p>
        </w:tc>
        <w:tc>
          <w:tcPr>
            <w:tcW w:w="6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3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服务器</w:t>
            </w:r>
          </w:p>
        </w:tc>
        <w:tc>
          <w:tcPr>
            <w:tcW w:w="6832"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H3C FlexServer R390,2*E5-2609,2*4GB,2*500G SAS 7.2K,4*GE网卡,460W,机架导轨,机架服务器</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53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台式机</w:t>
            </w:r>
          </w:p>
        </w:tc>
        <w:tc>
          <w:tcPr>
            <w:tcW w:w="6832"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CPU Pentium(R) Dual-Core E5800 3.2GHz  内存 2G，集成显卡，硬盘300G，带com口</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bl>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软件环境：台式机操作系统为windows 7，安装有office 2010 、PDF阅读软件、压缩软件等常用工具软件。台式机上安装有网络设备的操作命令手册（PDF格式）。</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六、评分方法及奖项设定</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（一）评分方法</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比赛时间为120分钟；各赛项的具体评分办法如下：</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企业级计算机网络搭建要求网线制作正确、交换机、路由器、无线控制器、防火墙等网络设备配置正确合理、工程实施报告规范和综合职业素质等。</w:t>
      </w:r>
    </w:p>
    <w:p>
      <w:pPr>
        <w:spacing w:line="460" w:lineRule="exact"/>
        <w:ind w:firstLine="480" w:firstLineChars="200"/>
        <w:rPr>
          <w:rFonts w:hint="eastAsia" w:ascii="宋体" w:hAnsi="宋体" w:eastAsia="宋体" w:cs="宋体"/>
          <w:sz w:val="24"/>
          <w:szCs w:val="24"/>
        </w:rPr>
      </w:pPr>
    </w:p>
    <w:p>
      <w:pPr>
        <w:widowControl/>
        <w:spacing w:after="120" w:afterLines="5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表三：竞赛内容模块分值比例表</w:t>
      </w:r>
    </w:p>
    <w:tbl>
      <w:tblPr>
        <w:tblStyle w:val="5"/>
        <w:tblpPr w:leftFromText="180" w:rightFromText="180" w:vertAnchor="page" w:horzAnchor="margin" w:tblpY="2806"/>
        <w:tblW w:w="8586" w:type="dxa"/>
        <w:tblInd w:w="0" w:type="dxa"/>
        <w:tblLayout w:type="fixed"/>
        <w:tblCellMar>
          <w:top w:w="0" w:type="dxa"/>
          <w:left w:w="108" w:type="dxa"/>
          <w:bottom w:w="0" w:type="dxa"/>
          <w:right w:w="108" w:type="dxa"/>
        </w:tblCellMar>
      </w:tblPr>
      <w:tblGrid>
        <w:gridCol w:w="1242"/>
        <w:gridCol w:w="6624"/>
        <w:gridCol w:w="720"/>
      </w:tblGrid>
      <w:tr>
        <w:tblPrEx>
          <w:tblCellMar>
            <w:top w:w="0" w:type="dxa"/>
            <w:left w:w="108" w:type="dxa"/>
            <w:bottom w:w="0" w:type="dxa"/>
            <w:right w:w="108" w:type="dxa"/>
          </w:tblCellMar>
        </w:tblPrEx>
        <w:trPr>
          <w:trHeight w:val="333" w:hRule="atLeast"/>
        </w:trPr>
        <w:tc>
          <w:tcPr>
            <w:tcW w:w="12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评分项目</w:t>
            </w:r>
          </w:p>
        </w:tc>
        <w:tc>
          <w:tcPr>
            <w:tcW w:w="66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内容描述及评分标准</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最大分值</w:t>
            </w:r>
          </w:p>
        </w:tc>
      </w:tr>
      <w:tr>
        <w:tblPrEx>
          <w:tblCellMar>
            <w:top w:w="0" w:type="dxa"/>
            <w:left w:w="108" w:type="dxa"/>
            <w:bottom w:w="0" w:type="dxa"/>
            <w:right w:w="108" w:type="dxa"/>
          </w:tblCellMar>
        </w:tblPrEx>
        <w:trPr>
          <w:trHeight w:val="333"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6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77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一、远程登录</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1、内容：配置全网四台设备配置，使四台设备均能远程管理。</w:t>
            </w:r>
          </w:p>
          <w:p>
            <w:pPr>
              <w:spacing w:line="460" w:lineRule="exact"/>
              <w:rPr>
                <w:rFonts w:hint="eastAsia" w:ascii="宋体" w:hAnsi="宋体" w:eastAsia="宋体" w:cs="宋体"/>
                <w:sz w:val="24"/>
                <w:szCs w:val="24"/>
              </w:rPr>
            </w:pPr>
            <w:r>
              <w:rPr>
                <w:rFonts w:hint="eastAsia" w:ascii="宋体" w:hAnsi="宋体" w:eastAsia="宋体" w:cs="宋体"/>
                <w:sz w:val="24"/>
                <w:szCs w:val="24"/>
              </w:rPr>
              <w:t>2、评分方法：每台设备配置2.5分，配错、漏配该设备不得分。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二、创建VLAN</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1、内容：S3550与S2126两台设备创建相应的VLAN，S2126 VLAN20包含1－5，7端口，S2126 VLAN30包含10－15端口。S3550创建VLAN20、VLAN30 。</w:t>
            </w:r>
          </w:p>
          <w:p>
            <w:pPr>
              <w:spacing w:line="460" w:lineRule="exact"/>
              <w:rPr>
                <w:rFonts w:hint="eastAsia" w:ascii="宋体" w:hAnsi="宋体" w:eastAsia="宋体" w:cs="宋体"/>
                <w:sz w:val="24"/>
                <w:szCs w:val="24"/>
              </w:rPr>
            </w:pPr>
            <w:r>
              <w:rPr>
                <w:rFonts w:hint="eastAsia" w:ascii="宋体" w:hAnsi="宋体" w:eastAsia="宋体" w:cs="宋体"/>
                <w:sz w:val="24"/>
                <w:szCs w:val="24"/>
              </w:rPr>
              <w:t>2、评分方法：评分标准：S2126完全配置正确得6分，S3550配置正确得4分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三、创建TRUNK链路</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1、内容：S3550与S2126两台设备F0／23与F0／24接口作为TRUNK端口，建立TRUNK链路。</w:t>
            </w:r>
          </w:p>
          <w:p>
            <w:pPr>
              <w:spacing w:line="460" w:lineRule="exact"/>
              <w:rPr>
                <w:rFonts w:hint="eastAsia" w:ascii="宋体" w:hAnsi="宋体" w:eastAsia="宋体" w:cs="宋体"/>
                <w:sz w:val="24"/>
                <w:szCs w:val="24"/>
              </w:rPr>
            </w:pPr>
            <w:r>
              <w:rPr>
                <w:rFonts w:hint="eastAsia" w:ascii="宋体" w:hAnsi="宋体" w:eastAsia="宋体" w:cs="宋体"/>
                <w:sz w:val="24"/>
                <w:szCs w:val="24"/>
              </w:rPr>
              <w:t>2、评分方法：全部建立成功10分，建立成功一条TRUNK链路得5分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四、快速生成树</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1、内容：S3550与S2126两台设备运行快速生成树协议，S3550作为根交换机。</w:t>
            </w:r>
          </w:p>
          <w:p>
            <w:pPr>
              <w:spacing w:line="460" w:lineRule="exact"/>
              <w:rPr>
                <w:rFonts w:hint="eastAsia" w:ascii="宋体" w:hAnsi="宋体" w:eastAsia="宋体" w:cs="宋体"/>
                <w:sz w:val="24"/>
                <w:szCs w:val="24"/>
              </w:rPr>
            </w:pPr>
            <w:r>
              <w:rPr>
                <w:rFonts w:hint="eastAsia" w:ascii="宋体" w:hAnsi="宋体" w:eastAsia="宋体" w:cs="宋体"/>
                <w:sz w:val="24"/>
                <w:szCs w:val="24"/>
              </w:rPr>
              <w:t>2、评分方法：快速生成树协议8分，选举根交换机2分。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五、所有设备配置地址</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1、内容：按照图上所给地址为设备配置地址。</w:t>
            </w:r>
          </w:p>
          <w:p>
            <w:pPr>
              <w:spacing w:line="460" w:lineRule="exact"/>
              <w:rPr>
                <w:rFonts w:hint="eastAsia" w:ascii="宋体" w:hAnsi="宋体" w:eastAsia="宋体" w:cs="宋体"/>
                <w:sz w:val="24"/>
                <w:szCs w:val="24"/>
              </w:rPr>
            </w:pPr>
            <w:r>
              <w:rPr>
                <w:rFonts w:hint="eastAsia" w:ascii="宋体" w:hAnsi="宋体" w:eastAsia="宋体" w:cs="宋体"/>
                <w:sz w:val="24"/>
                <w:szCs w:val="24"/>
              </w:rPr>
              <w:t>2、评分方法：全部配置正确10分，配错漏配，本要求不得分。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六、RA和RB使用V.35连接</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 内容：路由器RA和RB通过V.35线缆连接，在S0口封装PPP协议，并采用PAP验证方式建立连接。</w:t>
            </w:r>
          </w:p>
          <w:p>
            <w:pPr>
              <w:spacing w:line="460" w:lineRule="exact"/>
              <w:rPr>
                <w:rFonts w:hint="eastAsia" w:ascii="宋体" w:hAnsi="宋体" w:eastAsia="宋体" w:cs="宋体"/>
                <w:sz w:val="24"/>
                <w:szCs w:val="24"/>
              </w:rPr>
            </w:pPr>
            <w:r>
              <w:rPr>
                <w:rFonts w:hint="eastAsia" w:ascii="宋体" w:hAnsi="宋体" w:eastAsia="宋体" w:cs="宋体"/>
                <w:sz w:val="24"/>
                <w:szCs w:val="24"/>
              </w:rPr>
              <w:t>2、评分方法 正确连接并配置 10分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rPr>
              <w:t>七、RIP路由协议配置</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1、内容：运用RIPV2路由协议配置全网路由。</w:t>
            </w:r>
          </w:p>
          <w:p>
            <w:pPr>
              <w:widowControl/>
              <w:jc w:val="left"/>
              <w:rPr>
                <w:rFonts w:hint="eastAsia" w:ascii="宋体" w:hAnsi="宋体" w:eastAsia="宋体" w:cs="宋体"/>
                <w:kern w:val="0"/>
                <w:sz w:val="24"/>
                <w:szCs w:val="24"/>
              </w:rPr>
            </w:pPr>
            <w:r>
              <w:rPr>
                <w:rFonts w:hint="eastAsia" w:ascii="宋体" w:hAnsi="宋体" w:eastAsia="宋体" w:cs="宋体"/>
                <w:sz w:val="24"/>
                <w:szCs w:val="24"/>
              </w:rPr>
              <w:t>2、评分方法：路由器A与路由器B路由协议正常10分，路由器A与S3550路由协议正常10分。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sz w:val="24"/>
                <w:szCs w:val="24"/>
              </w:rPr>
            </w:pPr>
            <w:r>
              <w:rPr>
                <w:rFonts w:hint="eastAsia" w:ascii="宋体" w:hAnsi="宋体" w:eastAsia="宋体" w:cs="宋体"/>
                <w:sz w:val="24"/>
                <w:szCs w:val="24"/>
              </w:rPr>
              <w:t>八、访问控制列表</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1、内容：在路由器A作配置禁止学生网对172.16.1.18服务器进行访问，办公网只可以访问服务器的FTP服务，其他都不允许访问。</w:t>
            </w:r>
          </w:p>
          <w:p>
            <w:pPr>
              <w:widowControl/>
              <w:rPr>
                <w:rFonts w:hint="eastAsia" w:ascii="宋体" w:hAnsi="宋体" w:eastAsia="宋体" w:cs="宋体"/>
                <w:sz w:val="24"/>
                <w:szCs w:val="24"/>
              </w:rPr>
            </w:pPr>
            <w:r>
              <w:rPr>
                <w:rFonts w:hint="eastAsia" w:ascii="宋体" w:hAnsi="宋体" w:eastAsia="宋体" w:cs="宋体"/>
                <w:sz w:val="24"/>
                <w:szCs w:val="24"/>
              </w:rPr>
              <w:t>2、评分方法：正确配置20分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r>
      <w:tr>
        <w:tblPrEx>
          <w:tblCellMar>
            <w:top w:w="0" w:type="dxa"/>
            <w:left w:w="108" w:type="dxa"/>
            <w:bottom w:w="0" w:type="dxa"/>
            <w:right w:w="108" w:type="dxa"/>
          </w:tblCellMar>
        </w:tblPrEx>
        <w:trPr>
          <w:trHeight w:val="655" w:hRule="atLeast"/>
        </w:trPr>
        <w:tc>
          <w:tcPr>
            <w:tcW w:w="7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sz w:val="24"/>
                <w:szCs w:val="24"/>
              </w:rPr>
              <w:t>合计</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100</w:t>
            </w:r>
          </w:p>
          <w:p>
            <w:pPr>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竞赛采取分步得分、错误不传递、累计总分的计分方式。分别计算各专项得分，按规定比例计入团队总分，不计参赛选手个人成绩。</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竞赛总分满分为100分，各步分别得分。</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在比赛过程中，参赛选手如有不服从裁判和监考管理、扰乱赛场秩序等不文明行为的，由裁判长按照规定进行裁决：在100分范围内扣减相应分数，情节严重的取消比赛资</w:t>
      </w:r>
      <w:bookmarkStart w:id="3" w:name="_GoBack"/>
      <w:bookmarkEnd w:id="3"/>
      <w:r>
        <w:rPr>
          <w:rFonts w:hint="eastAsia" w:ascii="宋体" w:hAnsi="宋体" w:eastAsia="宋体" w:cs="宋体"/>
          <w:sz w:val="24"/>
          <w:szCs w:val="24"/>
        </w:rPr>
        <w:t>格，成绩作0分处理。参赛选手有作弊行为的，参赛队成绩作0分处理。</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（二）奖项设置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参赛队伍数在 3-6 支，只设置一等奖 1 项；参赛队伍数在 6 -10（含 10 支）支以上，设置一等奖 1 项，二等奖 1 项，三等奖 1 项；参赛队伍 10 支以上，按分别按一等奖 10%、二等奖 20%、三等奖 30%比例设置奖励。</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七、申诉与仲裁</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（一）申诉</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1．参赛队对不符合竞赛规定的设备、工具、软件，有失公正的评判、奖励，以及对工作人员的违规行为等，均可提出申诉。</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申诉应在竞赛结束后2小时内提出，超过时效将不予受理。申诉时，应按照规定的程序由参赛队向仲裁工作组递交书面申诉报告。报告应对申诉事件的现象、发生的时间、涉及到的人员、申诉依据与理由等进行充分、实事求是的叙述。事实依据不充分、仅凭主观臆断的申诉不予受理。申诉报告须有申诉的参赛选手、领队签名。</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3．赛场设立仲裁工作组。仲裁工作组收到申诉报告后，3小时内做出是否受理申诉的答复。如受理申诉，以书面方式通知申诉方召开听证会的时间和地点。</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4．参赛队不得采取过激行为攻击工作人员，否则不予受理申诉；在约定时间内，如约定的联系人未到场或中途离开，视为放弃申诉。</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（二）仲裁</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1．仲裁工作组负责受理竞赛中出现的申诉并进行仲裁，以保证竞赛的顺利进行和竞赛结果公平、公正。</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2．仲裁工作组根据收集并经核对的证据、证词，按照合法的程序组织召开听证会进行听证和仲裁。</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．参赛队不得因提起申诉或对申诉处理意见不服而停止比赛或滋事，否则按弃权处理。</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．竞赛不因申诉事件而组织重赛。</w:t>
      </w:r>
    </w:p>
    <w:p>
      <w:pPr>
        <w:jc w:val="center"/>
        <w:outlineLvl w:val="0"/>
        <w:rPr>
          <w:rFonts w:hint="eastAsia" w:ascii="宋体" w:hAnsi="宋体" w:eastAsia="宋体" w:cs="宋体"/>
          <w:color w:val="000000"/>
          <w:kern w:val="0"/>
          <w:sz w:val="24"/>
          <w:szCs w:val="24"/>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788"/>
    <w:rsid w:val="000057AD"/>
    <w:rsid w:val="00012BCB"/>
    <w:rsid w:val="00057CE2"/>
    <w:rsid w:val="00082CFC"/>
    <w:rsid w:val="000A67A3"/>
    <w:rsid w:val="000B0A5C"/>
    <w:rsid w:val="000D1569"/>
    <w:rsid w:val="000E6400"/>
    <w:rsid w:val="00177195"/>
    <w:rsid w:val="00183A90"/>
    <w:rsid w:val="001C7678"/>
    <w:rsid w:val="00216BD3"/>
    <w:rsid w:val="00292789"/>
    <w:rsid w:val="00294340"/>
    <w:rsid w:val="003035ED"/>
    <w:rsid w:val="00321BC6"/>
    <w:rsid w:val="00323B43"/>
    <w:rsid w:val="003D37D8"/>
    <w:rsid w:val="003E32F0"/>
    <w:rsid w:val="003F3D1F"/>
    <w:rsid w:val="00410C87"/>
    <w:rsid w:val="004358AB"/>
    <w:rsid w:val="00436A1C"/>
    <w:rsid w:val="00453788"/>
    <w:rsid w:val="00454F93"/>
    <w:rsid w:val="004C6B33"/>
    <w:rsid w:val="004D78A9"/>
    <w:rsid w:val="004E1655"/>
    <w:rsid w:val="004F3DDD"/>
    <w:rsid w:val="00503915"/>
    <w:rsid w:val="00534F4B"/>
    <w:rsid w:val="005D5976"/>
    <w:rsid w:val="005E4A64"/>
    <w:rsid w:val="005F06D9"/>
    <w:rsid w:val="00602FD0"/>
    <w:rsid w:val="00660EE9"/>
    <w:rsid w:val="00673AF4"/>
    <w:rsid w:val="006745BB"/>
    <w:rsid w:val="0069600A"/>
    <w:rsid w:val="006D2D3B"/>
    <w:rsid w:val="007C0444"/>
    <w:rsid w:val="00817146"/>
    <w:rsid w:val="00823BA7"/>
    <w:rsid w:val="008B7726"/>
    <w:rsid w:val="008D442C"/>
    <w:rsid w:val="00905F85"/>
    <w:rsid w:val="00907663"/>
    <w:rsid w:val="00915664"/>
    <w:rsid w:val="009C0449"/>
    <w:rsid w:val="00A05CB2"/>
    <w:rsid w:val="00A171E5"/>
    <w:rsid w:val="00A6288E"/>
    <w:rsid w:val="00A74BAF"/>
    <w:rsid w:val="00AB3A9E"/>
    <w:rsid w:val="00AE25EF"/>
    <w:rsid w:val="00B036F8"/>
    <w:rsid w:val="00B353FC"/>
    <w:rsid w:val="00BE6B52"/>
    <w:rsid w:val="00CC68F8"/>
    <w:rsid w:val="00CE6CB6"/>
    <w:rsid w:val="00D5725A"/>
    <w:rsid w:val="00DC1654"/>
    <w:rsid w:val="00E06F11"/>
    <w:rsid w:val="00E4144D"/>
    <w:rsid w:val="00E46ED2"/>
    <w:rsid w:val="00F15970"/>
    <w:rsid w:val="00F74F41"/>
    <w:rsid w:val="078D4C3E"/>
    <w:rsid w:val="0C7B2104"/>
    <w:rsid w:val="12B57C16"/>
    <w:rsid w:val="13AF7D9A"/>
    <w:rsid w:val="14573C64"/>
    <w:rsid w:val="161331EE"/>
    <w:rsid w:val="172D56B7"/>
    <w:rsid w:val="22317A17"/>
    <w:rsid w:val="2EA779A2"/>
    <w:rsid w:val="2F846421"/>
    <w:rsid w:val="36CA1846"/>
    <w:rsid w:val="3954200E"/>
    <w:rsid w:val="46365E18"/>
    <w:rsid w:val="479A04E0"/>
    <w:rsid w:val="47D64AEC"/>
    <w:rsid w:val="51D13D3F"/>
    <w:rsid w:val="5A191F44"/>
    <w:rsid w:val="5C1F02A8"/>
    <w:rsid w:val="5EBA58EB"/>
    <w:rsid w:val="67834590"/>
    <w:rsid w:val="78DA503D"/>
    <w:rsid w:val="79FC6C83"/>
    <w:rsid w:val="7C9D49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Strong"/>
    <w:basedOn w:val="6"/>
    <w:qFormat/>
    <w:locked/>
    <w:uiPriority w:val="0"/>
    <w:rPr>
      <w:b/>
    </w:rPr>
  </w:style>
  <w:style w:type="paragraph" w:customStyle="1" w:styleId="8">
    <w:name w:val="列表段落1"/>
    <w:basedOn w:val="1"/>
    <w:qFormat/>
    <w:uiPriority w:val="99"/>
    <w:pPr>
      <w:ind w:firstLine="420" w:firstLineChars="200"/>
    </w:pPr>
  </w:style>
  <w:style w:type="character" w:customStyle="1" w:styleId="9">
    <w:name w:val="页眉 Char"/>
    <w:link w:val="3"/>
    <w:qFormat/>
    <w:locked/>
    <w:uiPriority w:val="99"/>
    <w:rPr>
      <w:rFonts w:ascii="Times New Roman" w:hAnsi="Times New Roman" w:eastAsia="宋体" w:cs="Times New Roman"/>
      <w:kern w:val="2"/>
      <w:sz w:val="18"/>
      <w:szCs w:val="18"/>
    </w:rPr>
  </w:style>
  <w:style w:type="character" w:customStyle="1" w:styleId="10">
    <w:name w:val="页脚 Char"/>
    <w:link w:val="2"/>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1331</Words>
  <Characters>7592</Characters>
  <Lines>63</Lines>
  <Paragraphs>17</Paragraphs>
  <TotalTime>0</TotalTime>
  <ScaleCrop>false</ScaleCrop>
  <LinksUpToDate>false</LinksUpToDate>
  <CharactersWithSpaces>8906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2017-01-25T08:34:00Z</dcterms:created>
  <dc:creator>朱永国</dc:creator>
  <cp:lastModifiedBy>邹邹</cp:lastModifiedBy>
  <dcterms:modified xsi:type="dcterms:W3CDTF">2020-11-26T02:25:23Z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